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bCs/>
        </w:rPr>
        <w:t xml:space="preserve">ИНФОРМАЦИОННОЕ СООБЩЕНИЕ</w:t>
      </w:r>
      <w:r>
        <w:rPr>
          <w:b/>
          <w:bCs/>
        </w:rPr>
        <w:t xml:space="preserve">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bCs/>
        </w:rPr>
        <w:t xml:space="preserve">О ПРОВЕДЕНИИ ПРОДАЖИ ГОСУДАРСТВЕН</w:t>
      </w:r>
      <w:r>
        <w:rPr>
          <w:b/>
          <w:bCs/>
        </w:rPr>
        <w:t xml:space="preserve">Н</w:t>
      </w:r>
      <w:r>
        <w:rPr>
          <w:b/>
          <w:bCs/>
        </w:rPr>
        <w:t xml:space="preserve">ОГО ИМУЩЕСТВА</w:t>
      </w:r>
      <w:r>
        <w:rPr>
          <w:b/>
          <w:bCs/>
        </w:rPr>
        <w:t xml:space="preserve"> КОСТРОМСКОЙ ОБЛАСТИ</w:t>
      </w:r>
      <w:r>
        <w:rPr>
          <w:b/>
          <w:bCs/>
        </w:rPr>
        <w:t xml:space="preserve"> </w:t>
      </w:r>
      <w:r>
        <w:rPr>
          <w:b/>
          <w:bCs/>
        </w:rPr>
        <w:t xml:space="preserve">НА АУКЦИОНЕ </w:t>
      </w:r>
      <w:r>
        <w:rPr>
          <w:b/>
          <w:bCs/>
        </w:rPr>
        <w:t xml:space="preserve">В ЭЛЕКТРОННОЙ ФОРМЕ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firstLine="56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Департамент имущественных и земельных отношений Костромской области </w:t>
      </w:r>
      <w:r>
        <w:rPr>
          <w:bCs/>
        </w:rPr>
        <w:t xml:space="preserve">(</w:t>
      </w:r>
      <w:r>
        <w:rPr>
          <w:bCs/>
        </w:rPr>
        <w:t xml:space="preserve">далее – Департамент</w:t>
      </w:r>
      <w:r>
        <w:rPr>
          <w:bCs/>
        </w:rPr>
        <w:t xml:space="preserve">, Продавец) объявляет о проведении</w:t>
      </w:r>
      <w:r>
        <w:rPr>
          <w:bCs/>
        </w:rPr>
        <w:t xml:space="preserve"> </w:t>
      </w:r>
      <w:r>
        <w:rPr>
          <w:b/>
        </w:rPr>
        <w:t xml:space="preserve">30 января 2026 года</w:t>
      </w:r>
      <w:r>
        <w:rPr>
          <w:b/>
        </w:rPr>
        <w:t xml:space="preserve"> в 11.00 часов по московскому времени</w:t>
      </w:r>
      <w:r>
        <w:rPr>
          <w:bCs/>
        </w:rPr>
        <w:t xml:space="preserve"> </w:t>
      </w:r>
      <w:r>
        <w:rPr>
          <w:bCs/>
        </w:rPr>
        <w:t xml:space="preserve">аукциона по продаже</w:t>
      </w:r>
      <w:r>
        <w:rPr>
          <w:bCs/>
        </w:rPr>
        <w:t xml:space="preserve"> государственного имущества Костромской области </w:t>
      </w:r>
      <w:r>
        <w:rPr>
          <w:bCs/>
        </w:rPr>
        <w:t xml:space="preserve">в </w:t>
      </w:r>
      <w:r>
        <w:rPr>
          <w:bCs/>
        </w:rPr>
        <w:t xml:space="preserve">электронной форме</w:t>
      </w:r>
      <w:r>
        <w:rPr>
          <w:bCs/>
        </w:rPr>
        <w:t xml:space="preserve"> </w:t>
      </w:r>
      <w:r>
        <w:rPr>
          <w:bCs/>
        </w:rPr>
        <w:t xml:space="preserve">(далее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продажа имущества).</w:t>
      </w:r>
      <w:r>
        <w:rPr>
          <w:bCs/>
        </w:rPr>
        <w:t xml:space="preserve"> </w:t>
      </w:r>
      <w:r>
        <w:rPr>
          <w:bCs/>
        </w:rPr>
        <w:t xml:space="preserve">Продажа имущества проводится в </w:t>
      </w:r>
      <w:r>
        <w:rPr>
          <w:bCs/>
        </w:rPr>
        <w:t xml:space="preserve">соответствии с</w:t>
      </w:r>
      <w:r>
        <w:rPr>
          <w:bCs/>
        </w:rPr>
        <w:t xml:space="preserve"> Федеральным законом от 21 декабря 2001 года № 178-ФЗ</w:t>
      </w:r>
      <w:r>
        <w:rPr>
          <w:bCs/>
        </w:rPr>
        <w:t xml:space="preserve"> </w:t>
      </w:r>
      <w:r>
        <w:rPr>
          <w:bCs/>
        </w:rPr>
        <w:t xml:space="preserve">«О приватизации государственного и муниципального имущества»,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зак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25 июня 2002 года № 73-ФЗ «Об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ъектах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                                            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ссийской Федерации»,</w:t>
      </w:r>
      <w:r>
        <w:rPr>
          <w:bCs/>
        </w:rPr>
        <w:t xml:space="preserve"> постановлением Правительства Российской Федерации от 27</w:t>
      </w:r>
      <w:r>
        <w:rPr>
          <w:bCs/>
        </w:rPr>
        <w:t xml:space="preserve"> августа </w:t>
      </w:r>
      <w:r>
        <w:rPr>
          <w:bCs/>
        </w:rPr>
        <w:t xml:space="preserve">2012 года № 860 «Об организации и проведении продажи государственного или муниципального имущества в электронной форме»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tbl>
      <w:tblPr>
        <w:tblW w:w="1023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"/>
        <w:gridCol w:w="2551"/>
        <w:gridCol w:w="7229"/>
      </w:tblGrid>
      <w:tr>
        <w:tblPrEx/>
        <w:trPr>
          <w:trHeight w:val="2081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Продавец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Департамент имущественных и земельных отношений Костромской области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нахождения: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Костромская область,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Кострома,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Калиновская, д. 38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Ответственн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Продавца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вопросам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продажи имущества: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Бушманова Наталья Александровна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(4942) 45-20-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(4942) 45-70-94,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dizo@kostroma.gov.ru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1989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Оператор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площадка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РТС-тендер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(Имущественные торги) (далее – электронная площадка, Оператор)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«РТС-тендер»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121151, г. Москва, набережная Тараса Шевченко,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23-А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Сайт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hyperlink r:id="rId11" w:tooltip="http://www.rts-tender.ru" w:history="1">
              <w:r>
                <w:rPr>
                  <w:rStyle w:val="972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www.rts-tender.ru</w:t>
              </w:r>
            </w:hyperlink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Адрес электронной почты: iSupport@rts-tender.ru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тел.: +7 (499) 653-55-00, +7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800)-77-55-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факс: +7 (495) 733-95-19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2039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ешение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собственника о проведение 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остановлени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Костромской областной Думы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24 ноября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2022 года № 579 «О программе приватизации государственного имущества Костромской области на 2023-2025 годы»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распоряжения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департамента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имущественных и земельных отношений Костромской области «Об условиях приватизации находящегося в государственной собственности Костромск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ой области имущества»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 15 декабря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2025 год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  <w:lang w:val="ru-RU"/>
              </w:rPr>
              <w:t xml:space="preserve"> № 1119, № 1120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(П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ложение   № 1).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66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Предмет продажи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(объекты продажи)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 лота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(см. Таблицу «Информация об условиях приватизации государственного имущества Костромской области, предлагаемого к продаже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 аукционе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30 января 2026 года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», далее – Таблица).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Фотографии лотов размещены в Приложении № 2 к настоящему информационному сообщению.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49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пособ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риватизации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Продажа на аукционе.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562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Начальная цена 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см.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92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Форма подачи предложений о цене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Открытая форма подачи предложений.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shd w:val="clear" w:color="f2f2f2" w:fill="f2f2f2"/>
            <w:tcBorders>
              <w:bottom w:val="single" w:color="000000" w:sz="4" w:space="0"/>
            </w:tcBorders>
            <w:tcW w:w="456" w:type="dxa"/>
            <w:vAlign w:val="center"/>
            <w:vMerge w:val="restart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000000" w:sz="4" w:space="0"/>
            </w:tcBorders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Обременения 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Обязанность покупателя по выполнению требований Федерального 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25 июня 2002 года № 73-ФЗ «Об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ъектах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ультурного наследия (памя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тниках истории и культуры) народо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                                           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ссийской Федерации»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охранн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обязательств собственника или иног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законного владельца объекта культурного наследия, включенного в 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диный 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венный реестр объектов культурного насл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едия (па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мятнико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истории и культуры) народов  Российской Федерации,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ержденных приказом инспекции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объектов культурного насле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дия Костромской области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см. Таблицу).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25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Условия и сроки платежа, необходимые реквизиты счетов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1001"/>
              <w:ind w:firstLine="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аукционе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производится победителем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(покупателем)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10 рабочих дней с даты заключения договора купли-продажи государственного имущества. Задаток, перечисленный победителем (покупателем)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засчитывается в счёт оплаты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должны быть внесены единовременно в безналичном порядке на счет Продавца: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епартамент финансов Костромской области (департамент имущественных и земельных отношений Костромской области л/с 833010018)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ИНН 4401011825 КПП 440101001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Банк: ОКЦ № 1 ВОЛГО-ВЯТСКОЕ ГУ БАНКА РОССИИ//УФК по Костромской области, г. Кострома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Номер казначейского счета: 03222643340000004100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ИК ТОФК: 042202103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Единый казначейский счет (ЕКС): 40102810145370000103</w:t>
            </w: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</w:tc>
      </w:tr>
      <w:tr>
        <w:tblPrEx/>
        <w:trPr>
          <w:trHeight w:val="566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none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  <w:t xml:space="preserve">Размер задатка, срок и порядок его внесения, необходимые реквизиты счетов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1) Для участия в продаже имущества Претенденты вносят задатки в размере 10 % начальной цены, указанной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Таблице.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2) Претендент обеспечивает поступление задатка в срок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6 час. 00 мин. по московскому времени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26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.01.2026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(включительно).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3) Порядок внесения задатка определяется регламентом работы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соответствии с соглашением о гарантийном обеспечении на электронной площадке «РТС-тендер» имущественные торги (далее – соглашение) (Приложение № 3).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Реквизиты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Оператора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для перечисления задатка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Получатель ООО «РТС-тендер»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Наименование банка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Филиал «Корпоративный» ПАО «Совкомбанк»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Расчетный счет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0702810512030016362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Корр. счет 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30101810445250000360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БИК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044525360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7710357167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КПП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  <w:szCs w:val="24"/>
              </w:rPr>
              <w:t xml:space="preserve">773001001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Назначение платежа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внесение гарантийного обеспечения по Соглашению о внесении гарантийного обеспечения,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№ аналитического счета _________, без НДС.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lang w:eastAsia="en-US"/>
              </w:rPr>
              <w:t xml:space="preserve">Документом, подтверждающим поступление задатка на счет, указанный в информационном сообщении, является выписка с этого счета.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 w:val="0"/>
                <w:i w:val="0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) Порядок возвращения задатка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1001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позднее, чем 5 (пять) дней со дня поступления уведомления об отзыве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участником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продажи имущества либо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лицом, признанным единственным участником аукциона,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перечисляет сумму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признания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несостоявш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Оператор возвращает задаток Претенденту путем перечисления суммы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отмены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не возвращается: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 уклонении или отказе победителя аукциона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лица, признанного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заключения в установленный срок договора купли-продажи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Победитель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лицо, признанное единственным участником аукциона,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утрачивает право на заключение указанного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01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неисполнения Претендентом, признанным Победителем аукциона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заключившим с Продавцом договор купли-продажи, обязанности по оплате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в соответствии с указанным договором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адаток, внесенный Претендентом, признанным Победителем аукциона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лицом, признанным единственным участником аукциона,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5) Условия договора о задатке, указанные в пп. 1-4 настоящего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раздела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,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 являются условиями публичной оферты в соответствии со </w:t>
            </w:r>
            <w:hyperlink r:id="rId12" w:tooltip="consultantplus://offline/ref=04C69D67FA7F00F8B2D92E624E108DE4AEA01442D49672C188D2DD2BF89EA41C613D87F19E3D74ED824B5019CC5567396D673E8E60DD755Fj7Z6L" w:history="1">
              <w:r>
                <w:rPr>
                  <w:rFonts w:ascii="Times New Roman" w:hAnsi="Times New Roman" w:eastAsia="Calibri" w:cs="Times New Roman"/>
                  <w:color w:val="000000" w:themeColor="text1"/>
                  <w:sz w:val="24"/>
                  <w:szCs w:val="24"/>
                  <w:lang w:eastAsia="en-US"/>
                </w:rPr>
                <w:t xml:space="preserve">статьей 437</w:t>
              </w:r>
            </w:hyperlink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Гражданского кодекса Российской Федерации.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Подача претендентом заявки и перечисление задатка на счет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являются акцептом такой оферты, и договор о задатке считается заключенным в установленном порядке.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считаться ошибочно перечисленными денежными средствами и возвращены на счет плательщика.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01"/>
        </w:trPr>
        <w:tc>
          <w:tcPr>
            <w:shd w:val="clear" w:color="f2f2f2" w:fill="f2f2f2"/>
            <w:tcBorders>
              <w:top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Borders>
              <w:top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Место, сроки подачи (приема) Заявок, определения Участников</w:t>
            </w: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проведения</w:t>
            </w: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 подведения итогов продажи имущества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Место подачи (приема) Заявок: </w:t>
            </w:r>
            <w:bookmarkStart w:id="1" w:name="_Hlk10095844"/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электронная площадка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                           </w:t>
            </w:r>
            <w:hyperlink r:id="rId13" w:tooltip="http://www.rts-tender.ru" w:history="1">
              <w:r>
                <w:rPr>
                  <w:rStyle w:val="972"/>
                  <w:rFonts w:ascii="Times New Roman" w:hAnsi="Times New Roman" w:eastAsia="Calibri" w:cs="Times New Roman"/>
                  <w:color w:val="000000" w:themeColor="text1"/>
                  <w:sz w:val="24"/>
                  <w:szCs w:val="24"/>
                </w:rPr>
                <w:t xml:space="preserve">www.rts-tender.ru</w:t>
              </w:r>
            </w:hyperlink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 (Оператор)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  <w:t xml:space="preserve">.</w:t>
            </w:r>
            <w:bookmarkEnd w:id="1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Дата и время начала подачи (приема) Заявок: 23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мин. по московскому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Подача Заявок осуществляется круглосуточно.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Дата и время окончания подачи (приема) Заявок: 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.01.2026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 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6 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 мин. 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московскому времени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(включительно).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Дата определения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частников: 28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 час. 00 мин. по московскому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Дата и время проведения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: 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мин. 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московскому времени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6) Срок подведения итогов продажи имущества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.01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                   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час.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 мин. по 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московскому времени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938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Порядок 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тказ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вправе отказаться от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любое время,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 не позднее чем за три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до наступления даты его проведения.</w:t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Порядок подачи (приема) и отзыва Заявок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1)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Заявка подается путем заполнения формы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на электронной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площадке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(Приложение № 8)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в соответствии с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Приложением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 настоящему информационному сообщению.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К данным документам также прилагается их опись в соответствии с Приложением 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 настоящему информационному сообщению.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Одно лицо имеет право подать только одну Заявку.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3)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Заявки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могут быть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ны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на электронную площадку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с даты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и времени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начала подачи (приема) Заявок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указанных в п.2 раздела 11 информационного сообщения,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указанных в п. 3 раздела 11 информационного сообщения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4)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Заявки с прилагаемыми к ним документами, поданные с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нарушением установленного срока, на электронной площадке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не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 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регистрируются.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5)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17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Исчерпывающий перечень представляемых документов и требования к их оформлению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Информация указана в Приложении №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к настоящему информационному сообщению.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Требования и у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словия допуска к участию в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Участник)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ретендент, признанный Продавцом Участником.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2" w:name="_Toc467070603"/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участию в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в установленном размере задатка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в порядке и сроки, указанные в информационном сообщении о проведении продажи.</w:t>
            </w:r>
            <w:bookmarkEnd w:id="2"/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Претендент не допускается к участию в аукционе по следующим основаниям: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а)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б) предс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тавлены не все документы в соответствии с перечнем, указанным в информационном сообщении (за исключением предложений о цене государственного имущества на аукционе), или оформление указанных документов не соответствует законодательству Российской Федерации;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в) заявка подана лицом, не уполномоченным претендентом на осуществление таких действий;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г) не подтверждено поступление в установленный срок задатка на счета, указанные в информационном сообщении.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Перечень оснований отказа претенденту в участии в аукционе является исчерпывающим.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Срок заключения договора купли-продажи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и ответственность за уклонение или отказ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от заключения договора купли-продажи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pStyle w:val="103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Start w:id="3" w:name="_Hlk10097696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результатам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Продавец 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обедитель аукциона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либо лицо, признанное единственным участником аукциона,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(покупатель) в течение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пяти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рабочих дней с даты подведения итогов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заключают договор купли-продажи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иде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электронного документа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проект которого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приведен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Приложени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 настоящему информационному сообщению.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pStyle w:val="95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Start w:id="4" w:name="_Toc467070671"/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End w:id="3"/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При уклонении или отказе победителя аукциона 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либо лица, признанного единственным участником аукциона,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от заключения в установленный срок договора купли-продажи результаты 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продажи имущества аннулируются, п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обедитель 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либо лицо, признанное единственным участником аукциона,</w:t>
            </w:r>
            <w:r>
              <w:rPr>
                <w:rFonts w:ascii="Times New Roman" w:hAnsi="Times New Roman" w:eastAsia="Calibri" w:cs="Times New Roman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утрачивает право на заключение указанного договора, задаток ему не возвращается.</w:t>
            </w:r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  <w:t xml:space="preserve">Порядок ознакомления Претендентов с информацией, условиями договора купли-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продажи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Start w:id="5" w:name="_Toc467070617"/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Любое лицо, независимо от регистрации на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электронной площадке Оператора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, вправе на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править на электронный адрес Оператора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, указанный в информационном сообщении, запрос о разъяснении размещенной информации. Запрос разъяснений подлежит рассмотрению Пр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одавцом, если он был получен Оператором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, не позднее чем за 5 (пять) рабочих дней до даты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и времени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окончания приема заявок, указанных в информационном сообщении о проведении продажи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 имущества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указанных в п.3 раздела 11 информационного сообщения</w:t>
            </w:r>
            <w:bookmarkEnd w:id="5"/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 (Приложение №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7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).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 случае направления запроса иностранными лицами такой запрос должен иметь перевод на русский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язык.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 иной информацией, условиями договора купли-продажи претенденты могут ознакомиться в департаменте имущественных и земельных отношений Костромской области по адресу: г. Кострома, ул. Калиновская, д. 38, 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аб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222, по телефонам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+7 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(4942) 45-20-12, 45-70-94 либо на сайтах в сети «Интернет»: официальном сайте Российской Федерации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размещения информации о проведении торгов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www.torgi.gov.ru, на сайте продавца - департамента имущественных и земельных отношений Костромской области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dizo.kostroma.gov.ru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 Портале государственных органов Костромской области www.аdm44.ru.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en-US"/>
              </w:rPr>
              <w:t xml:space="preserve">Ограничения участия отдельных категорий физических лиц и юридических лиц в приватизации имущества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ind w:firstLine="31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В соответствии со статьей 5 </w:t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Федерального закона от 21 декабря 2001 года № 178-ФЗ «О приватизации государственного и муниципального имущества»</w:t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 п</w:t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окупателями имущества могут быть любые физические и юридические лица, за исключением: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государственных и муниципальных унитарных предприятий, государственных и муниципальных учреждений;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юридических лиц, в уставном капитале которых доля Росси</w:t>
            </w:r>
            <w:r>
              <w:rPr>
                <w:rFonts w:ascii="Times New Roman" w:hAnsi="Times New Roman" w:eastAsia="Calibri" w:cs="Times New Roman"/>
                <w:color w:val="00000a"/>
                <w:sz w:val="24"/>
                <w:szCs w:val="24"/>
                <w:lang w:eastAsia="en-US"/>
              </w:rPr>
              <w:t xml:space="preserve">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r>
          </w:p>
          <w:p>
            <w:pPr>
              <w:pStyle w:val="1016"/>
              <w:ind w:firstLine="318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4" w:tooltip="consultantplus://offline/ref=C40AFE508C514D370134858A427D488572E28F346EB751B3176E2E17DCF8B6FF67495B5Eo2J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перечень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проведения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пределени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обедителя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продажи имущества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Продажа имущества проводится в день 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во время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, указанные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 xml:space="preserve">п.5 раздела 11 информационного сообщения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путем последовательного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повышения участниками начальной цены продажи на величину, равную либо кратную величине «шага аукциона» (см. таблицу).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4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54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б) не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Победителем признается участник, предложивший наиболее высокую цену имущества.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en-US"/>
              </w:rPr>
              <w:t xml:space="preserve"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имущества.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none"/>
                <w:lang w:eastAsia="en-US"/>
              </w:rPr>
              <w:t xml:space="preserve">В случае отказа лица, признанного единственным участником аукциона, от заключения договора аукцион признается несостоявшимся.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81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1030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pStyle w:val="1030"/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t xml:space="preserve">По </w:t>
            </w:r>
            <w:r>
              <w:rPr>
                <w:highlight w:val="none"/>
              </w:rPr>
              <w:t xml:space="preserve">лоту</w:t>
            </w:r>
            <w:r>
              <w:t xml:space="preserve"> № 1 торги</w:t>
            </w:r>
            <w:r>
              <w:t xml:space="preserve"> 24 января 2025 года, 14 марта 2025 года, 7 мая 2025 года, 4 июля 2025 года, 26 сентября 2025 года, 28 ноября                     2026 года </w:t>
            </w:r>
            <w:r>
              <w:t xml:space="preserve">признаны несостоявшимися по причине отсутствия заявок.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По лоту № 2 торги </w:t>
            </w:r>
            <w:r>
              <w:t xml:space="preserve">26 сентября 2025 года, 28 ноября 2026 года </w:t>
            </w:r>
            <w:r>
              <w:t xml:space="preserve">признаны несостоявшимися по причине отсутствия заявок.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f2f2f2" w:fill="f2f2f2"/>
            <w:tcW w:w="2551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Порядок осмотра </w:t>
            </w:r>
            <w:r>
              <w:rPr>
                <w:rFonts w:ascii="Times New Roman" w:hAnsi="Times New Roman" w:eastAsia="Calibri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Лота (объекта)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Осмотр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лотов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производится без взимания платы по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предварительному согласованию даты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времени проведения осмотра на основании направленного обращения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на электронный адрес: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dizo@kostroma.gov.ru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либо по телефонам: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+ 7 (4942) 45-20-12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        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45-70-94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случае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направл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обращени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по электронной почте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hyperlink r:id="rId15" w:tooltip="mailto:dizo@adm44.ru" w:history="1">
              <w:r>
                <w:rPr>
                  <w:rStyle w:val="972"/>
                  <w:rFonts w:ascii="Times New Roman" w:hAnsi="Times New Roman" w:eastAsia="Times New Roman" w:cs="Times New Roman"/>
                  <w:bCs/>
                  <w:sz w:val="24"/>
                  <w:szCs w:val="24"/>
                  <w:lang w:val="en-US"/>
                </w:rPr>
              </w:r>
              <w:r>
                <w:rPr>
                  <w:rStyle w:val="972"/>
                  <w:rFonts w:ascii="Times New Roman" w:hAnsi="Times New Roman" w:eastAsia="Times New Roman" w:cs="Times New Roman"/>
                  <w:bCs/>
                  <w:sz w:val="24"/>
                  <w:szCs w:val="24"/>
                  <w:lang w:val="en-US"/>
                </w:rPr>
                <w:t xml:space="preserve">dizo@kostroma.gov.ru</w:t>
              </w:r>
              <w:r>
                <w:rPr>
                  <w:rStyle w:val="972"/>
                  <w:rFonts w:ascii="Times New Roman" w:hAnsi="Times New Roman" w:eastAsia="Times New Roman" w:cs="Times New Roman"/>
                  <w:bCs/>
                  <w:sz w:val="24"/>
                  <w:szCs w:val="24"/>
                  <w:lang w:val="en-US"/>
                </w:rPr>
              </w:r>
            </w:hyperlink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необходимо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указа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следующи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данны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тема письма: Запрос на осмотр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лота № (объекта)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Ф.И.О. лица, уполномоченного на осмотр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лота № (объекта)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(физического лица, индивидуального предпринимателя, руководителя юридического лица или их представителей);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наименование юридического лица (для юридического лица);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почтовый адрес или адрес электронной почты, контактный телефон;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дата аукциона;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- местоположение (адрес)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лота №  (объекта).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</w:tbl>
    <w:p>
      <w:pPr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rPr>
          <w:rFonts w:eastAsia="MS Mincho"/>
          <w:sz w:val="28"/>
          <w:szCs w:val="28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276" w:right="567" w:bottom="1105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Таблица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Информация</w:t>
      </w:r>
      <w:r>
        <w:rPr>
          <w:rFonts w:eastAsia="MS Mincho"/>
        </w:rPr>
      </w:r>
      <w:r>
        <w:rPr>
          <w:rFonts w:eastAsia="MS Mincho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об условиях приватизации государственного имущества Костромской области,</w:t>
      </w:r>
      <w:r>
        <w:rPr>
          <w:rFonts w:eastAsia="MS Mincho"/>
        </w:rPr>
      </w:r>
      <w:r>
        <w:rPr>
          <w:rFonts w:eastAsia="MS Mincho"/>
        </w:rPr>
      </w:r>
    </w:p>
    <w:p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предла</w:t>
      </w:r>
      <w:r>
        <w:rPr>
          <w:rFonts w:eastAsia="MS Mincho"/>
          <w:sz w:val="28"/>
          <w:szCs w:val="28"/>
        </w:rPr>
        <w:t xml:space="preserve">гаемого к продаже на аукционе 30 января 2026 года</w:t>
      </w:r>
      <w:r>
        <w:rPr>
          <w:rFonts w:eastAsia="MS Mincho"/>
        </w:rPr>
      </w:r>
      <w:r>
        <w:rPr>
          <w:rFonts w:eastAsia="MS Mincho"/>
        </w:rPr>
      </w:r>
    </w:p>
    <w:p>
      <w:pPr>
        <w:rPr>
          <w:rFonts w:eastAsia="MS Mincho"/>
        </w:rPr>
      </w:pPr>
      <w:r>
        <w:rPr>
          <w:rFonts w:eastAsia="MS Mincho"/>
          <w:sz w:val="24"/>
          <w:szCs w:val="28"/>
        </w:rPr>
      </w:r>
      <w:r>
        <w:rPr>
          <w:rFonts w:eastAsia="MS Mincho"/>
        </w:rPr>
      </w:r>
      <w:r>
        <w:rPr>
          <w:rFonts w:eastAsia="MS Mincho"/>
        </w:rPr>
      </w:r>
    </w:p>
    <w:tbl>
      <w:tblPr>
        <w:tblW w:w="1515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3529"/>
        <w:gridCol w:w="1667"/>
        <w:gridCol w:w="1384"/>
        <w:gridCol w:w="1414"/>
        <w:gridCol w:w="1183"/>
        <w:gridCol w:w="1242"/>
        <w:gridCol w:w="1417"/>
        <w:gridCol w:w="55"/>
        <w:gridCol w:w="1408"/>
        <w:gridCol w:w="1384"/>
      </w:tblGrid>
      <w:tr>
        <w:tblPrEx/>
        <w:trPr>
          <w:trHeight w:val="285"/>
        </w:trPr>
        <w:tc>
          <w:tcPr>
            <w:tcW w:w="473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лота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 объекта продажи, технические характеристики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Адрес (место-положение) 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tcW w:w="522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Начальная цена продажи,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Величина повышения начальной цены («шаг аукциона»)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46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Задаток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(10 % от начальной цены),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Обреме-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нение, состояние 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tcW w:w="473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(с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W w:w="383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14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57"/>
        </w:trPr>
        <w:tc>
          <w:tcPr>
            <w:tcW w:w="473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Объекты недвижимости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(с НДС)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Объекты движи-мого иму- 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1463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384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7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  <w:t xml:space="preserve">комплекс объектов: административное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здание (объект культурного наследия регионального значения «Усадьба Чернова, 60-70-е гг.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XIX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в.: Дом жилой»),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назначение: нежи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лое,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площадь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563,9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кв.м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кадастровый номер 44:27:040718:321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нежилое здание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назначение: нежи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лое,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площадь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47,8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кв.м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кадастровый номер 44:27:040718:319,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нежилое здание,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назначение: нежи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лое,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площадь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56,2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кв.м,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кадастровый номер 44:27:040718:402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с одновременным отчуждением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земельного участка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, категория земель: земли населенных пунктов, вид разрешенного использования: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административно-управленческие объекты и некоммерческие организации (объекты социального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обслуживания, социальной защиты, пенсионного обеспечения, ЗАГСы, архивы, информационные 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аналитические центры и другие подобные объекты)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площадь 1430 кв.м,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44:27:040718:403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/>
              </w:rPr>
              <w:t xml:space="preserve">местоположение: «Местоположение установлено относительно ориентира, расположенного в границах участка. Почтовый адрес ориентира: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Костромская область,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                г. Кострома, ул. Нижняя Дебря, д. 41»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, ограничения (обременения)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охранная зона кабеля площадью 6 кв.м, охранная зона сетей канализации площадью 111 кв.м, охранная зона сетей теплотрассы площадью 124 кв.м, охранная зона инженерных коммуникаций площадью 67 кв.м, площадью 69 кв.м, охранная зона транспорта 1430 кв.м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Костромская область,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Кострома,                       ул. Нижняя Дебря, д. 41,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строение 1,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строение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27 942 820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23 068 920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4 873 900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300 000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46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white"/>
              </w:rPr>
              <w:t xml:space="preserve">2 794 282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Style w:val="1000"/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  <w:footnoteReference w:id="2"/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rStyle w:val="100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0"/>
                <w:szCs w:val="20"/>
                <w:lang w:eastAsia="ru-RU"/>
              </w:rPr>
              <w:t xml:space="preserve">требует проведения комплекса ремонтно-реставраци-онных работ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</w:rPr>
              <w:t xml:space="preserve"> </w:t>
            </w:r>
            <w:r>
              <w:rPr>
                <w:rStyle w:val="100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Style w:val="1000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W w:w="47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2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center" w:pos="165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нежилое помещение № 2 (ком. № 1-5, </w:t>
            </w:r>
            <w:r>
              <w:rPr>
                <w:sz w:val="20"/>
                <w:szCs w:val="20"/>
              </w:rPr>
              <w:t xml:space="preserve">объект культурного наследия регионального значения «Дом жилой Гагарина, кон. XIX в.»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 xml:space="preserve">назначение: нежилое,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площадь 70 кв.м,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кадастровый номер 44:22:130112:376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7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Костромская область, Сусанинский район, пгт. Сусанино, ул. Карла Маркса, д.13, нежилое помещение № 2 (ком. № 1-5)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/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148 000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148 000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3 000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46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14 800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Style w:val="1000"/>
                <w:b w:val="0"/>
                <w:bCs w:val="0"/>
                <w:sz w:val="20"/>
                <w:szCs w:val="20"/>
              </w:rPr>
              <w:footnoteReference w:id="3"/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  <w:szCs w:val="20"/>
                <w:lang w:eastAsia="ru-RU"/>
              </w:rPr>
              <w:t xml:space="preserve">требует проведения полного комплекса ремонтно-реставрационных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rStyle w:val="1000"/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Style w:val="1000"/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Style w:val="1000"/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Style w:val="1000"/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</w:rPr>
            </w:r>
          </w:p>
        </w:tc>
      </w:tr>
    </w:tbl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t xml:space="preserve">___________</w: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6838" w:h="11906" w:orient="landscape"/>
      <w:pgMar w:top="993" w:right="822" w:bottom="850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MS Mincho">
    <w:panose1 w:val="020206030504050903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98"/>
        <w:jc w:val="both"/>
        <w:rPr>
          <w:sz w:val="20"/>
          <w:szCs w:val="20"/>
        </w:rPr>
      </w:pPr>
      <w:r>
        <w:rPr>
          <w:rStyle w:val="1000"/>
        </w:rPr>
        <w:footnoteRef/>
      </w:r>
      <w:r>
        <w:t xml:space="preserve"> </w:t>
      </w:r>
      <w:r>
        <w:rPr>
          <w:sz w:val="20"/>
          <w:szCs w:val="20"/>
        </w:rPr>
        <w:t xml:space="preserve">Л</w:t>
      </w:r>
      <w:r>
        <w:rPr>
          <w:sz w:val="20"/>
          <w:szCs w:val="20"/>
        </w:rPr>
        <w:t xml:space="preserve">от № 1 -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обременение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–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обязанность покупателя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по в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ыполнению треб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ов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аний Федерального закона от 25 июня 2002 года № 7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3-ФЗ «Об объектах ку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льтурного наследия (памятниках истории и культуры) народов Рос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сийской Федерации»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и охранного обязател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ьства со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бственника или иного законного владельца объекта культурно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го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н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аследия, включ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енного в единый государственный реестр объектов кул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ьт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урного наследия (памятников истории и культуры) народов Российской Федерации, ут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вержденного приказом инспекции по охран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е объект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ов культурного наследия Костромской области от 28 ноября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20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24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года № 2</w:t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  <w:t xml:space="preserve">2</w:t>
      </w:r>
      <w:r>
        <w:rPr>
          <w:sz w:val="20"/>
          <w:szCs w:val="20"/>
        </w:rPr>
        <w:t xml:space="preserve">. 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3">
    <w:p>
      <w:pPr>
        <w:pStyle w:val="99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Style w:val="1000"/>
        </w:rPr>
        <w:footnoteRef/>
      </w:r>
      <w:r>
        <w:t xml:space="preserve"> </w:t>
      </w:r>
      <w:r>
        <w:rPr>
          <w:sz w:val="20"/>
          <w:szCs w:val="20"/>
          <w:highlight w:val="none"/>
        </w:rPr>
        <w:t xml:space="preserve">лот № 2: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обременение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обязанность покупателя по выполнению требований Федерального зак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она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25 июня 2002 года № 73-ФЗ «Об об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ъектах к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 Ро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ссийской Федерации»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охранного договора (обязател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ьства) на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объект культурно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го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н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аследия 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(памятник архитектуры) от 29 июля 2011 года № 01-11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.</w:t>
      </w:r>
      <w:r>
        <w:rPr>
          <w:rFonts w:ascii="Times New Roman" w:hAnsi="Times New Roman" w:cs="Times New Roman"/>
          <w:color w:val="000000"/>
          <w:sz w:val="20"/>
          <w:szCs w:val="20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  <w:jc w:val="center"/>
    </w:pPr>
    <w:fldSimple w:instr="PAGE \* MERGEFORMAT">
      <w:r>
        <w:t xml:space="preserve">1</w:t>
      </w:r>
    </w:fldSimple>
    <w:r/>
    <w:r/>
  </w:p>
  <w:p>
    <w:pPr>
      <w:pStyle w:val="97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1035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103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1031"/>
    <w:lvl w:ilvl="0">
      <w:start w:val="1"/>
      <w:numFmt w:val="decimal"/>
      <w:pStyle w:val="1031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975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0">
    <w:name w:val="table of figures"/>
    <w:basedOn w:val="948"/>
    <w:next w:val="948"/>
    <w:uiPriority w:val="99"/>
    <w:unhideWhenUsed/>
    <w:pPr>
      <w:spacing w:after="0" w:afterAutospacing="0"/>
    </w:pPr>
  </w:style>
  <w:style w:type="character" w:styleId="791">
    <w:name w:val="Heading 1 Char"/>
    <w:basedOn w:val="958"/>
    <w:link w:val="949"/>
    <w:uiPriority w:val="9"/>
    <w:rPr>
      <w:rFonts w:ascii="Arial" w:hAnsi="Arial" w:eastAsia="Arial" w:cs="Arial"/>
      <w:sz w:val="40"/>
      <w:szCs w:val="40"/>
    </w:rPr>
  </w:style>
  <w:style w:type="character" w:styleId="792">
    <w:name w:val="Heading 2 Char"/>
    <w:basedOn w:val="958"/>
    <w:link w:val="950"/>
    <w:uiPriority w:val="9"/>
    <w:rPr>
      <w:rFonts w:ascii="Arial" w:hAnsi="Arial" w:eastAsia="Arial" w:cs="Arial"/>
      <w:sz w:val="34"/>
    </w:rPr>
  </w:style>
  <w:style w:type="character" w:styleId="793">
    <w:name w:val="Heading 3 Char"/>
    <w:basedOn w:val="958"/>
    <w:link w:val="951"/>
    <w:uiPriority w:val="9"/>
    <w:rPr>
      <w:rFonts w:ascii="Arial" w:hAnsi="Arial" w:eastAsia="Arial" w:cs="Arial"/>
      <w:sz w:val="30"/>
      <w:szCs w:val="30"/>
    </w:rPr>
  </w:style>
  <w:style w:type="character" w:styleId="794">
    <w:name w:val="Heading 4 Char"/>
    <w:basedOn w:val="958"/>
    <w:link w:val="952"/>
    <w:uiPriority w:val="9"/>
    <w:rPr>
      <w:rFonts w:ascii="Arial" w:hAnsi="Arial" w:eastAsia="Arial" w:cs="Arial"/>
      <w:b/>
      <w:bCs/>
      <w:sz w:val="26"/>
      <w:szCs w:val="26"/>
    </w:rPr>
  </w:style>
  <w:style w:type="character" w:styleId="795">
    <w:name w:val="Heading 5 Char"/>
    <w:basedOn w:val="958"/>
    <w:link w:val="953"/>
    <w:uiPriority w:val="9"/>
    <w:rPr>
      <w:rFonts w:ascii="Arial" w:hAnsi="Arial" w:eastAsia="Arial" w:cs="Arial"/>
      <w:b/>
      <w:bCs/>
      <w:sz w:val="24"/>
      <w:szCs w:val="24"/>
    </w:rPr>
  </w:style>
  <w:style w:type="character" w:styleId="796">
    <w:name w:val="Heading 6 Char"/>
    <w:basedOn w:val="958"/>
    <w:link w:val="954"/>
    <w:uiPriority w:val="9"/>
    <w:rPr>
      <w:rFonts w:ascii="Arial" w:hAnsi="Arial" w:eastAsia="Arial" w:cs="Arial"/>
      <w:b/>
      <w:bCs/>
      <w:sz w:val="22"/>
      <w:szCs w:val="22"/>
    </w:rPr>
  </w:style>
  <w:style w:type="character" w:styleId="797">
    <w:name w:val="Heading 7 Char"/>
    <w:basedOn w:val="958"/>
    <w:link w:val="9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>
    <w:name w:val="Heading 8 Char"/>
    <w:basedOn w:val="958"/>
    <w:link w:val="956"/>
    <w:uiPriority w:val="9"/>
    <w:rPr>
      <w:rFonts w:ascii="Arial" w:hAnsi="Arial" w:eastAsia="Arial" w:cs="Arial"/>
      <w:i/>
      <w:iCs/>
      <w:sz w:val="22"/>
      <w:szCs w:val="22"/>
    </w:rPr>
  </w:style>
  <w:style w:type="character" w:styleId="799">
    <w:name w:val="Heading 9 Char"/>
    <w:basedOn w:val="958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800">
    <w:name w:val="No Spacing"/>
    <w:uiPriority w:val="1"/>
    <w:qFormat/>
    <w:pPr>
      <w:spacing w:before="0" w:after="0" w:line="240" w:lineRule="auto"/>
    </w:pPr>
  </w:style>
  <w:style w:type="paragraph" w:styleId="801">
    <w:name w:val="Title"/>
    <w:basedOn w:val="948"/>
    <w:next w:val="948"/>
    <w:link w:val="8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2">
    <w:name w:val="Title Char"/>
    <w:basedOn w:val="958"/>
    <w:link w:val="801"/>
    <w:uiPriority w:val="10"/>
    <w:rPr>
      <w:sz w:val="48"/>
      <w:szCs w:val="48"/>
    </w:rPr>
  </w:style>
  <w:style w:type="paragraph" w:styleId="803">
    <w:name w:val="Subtitle"/>
    <w:basedOn w:val="948"/>
    <w:next w:val="948"/>
    <w:link w:val="804"/>
    <w:uiPriority w:val="11"/>
    <w:qFormat/>
    <w:pPr>
      <w:spacing w:before="200" w:after="200"/>
    </w:pPr>
    <w:rPr>
      <w:sz w:val="24"/>
      <w:szCs w:val="24"/>
    </w:rPr>
  </w:style>
  <w:style w:type="character" w:styleId="804">
    <w:name w:val="Subtitle Char"/>
    <w:basedOn w:val="958"/>
    <w:link w:val="803"/>
    <w:uiPriority w:val="11"/>
    <w:rPr>
      <w:sz w:val="24"/>
      <w:szCs w:val="24"/>
    </w:rPr>
  </w:style>
  <w:style w:type="paragraph" w:styleId="805">
    <w:name w:val="Quote"/>
    <w:basedOn w:val="948"/>
    <w:next w:val="948"/>
    <w:link w:val="806"/>
    <w:uiPriority w:val="29"/>
    <w:qFormat/>
    <w:pPr>
      <w:ind w:left="720" w:right="720"/>
    </w:pPr>
    <w:rPr>
      <w:i/>
    </w:rPr>
  </w:style>
  <w:style w:type="character" w:styleId="806">
    <w:name w:val="Quote Char"/>
    <w:link w:val="805"/>
    <w:uiPriority w:val="29"/>
    <w:rPr>
      <w:i/>
    </w:rPr>
  </w:style>
  <w:style w:type="paragraph" w:styleId="807">
    <w:name w:val="Intense Quote"/>
    <w:basedOn w:val="948"/>
    <w:next w:val="948"/>
    <w:link w:val="808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8">
    <w:name w:val="Intense Quote Char"/>
    <w:link w:val="807"/>
    <w:uiPriority w:val="30"/>
    <w:rPr>
      <w:i/>
    </w:rPr>
  </w:style>
  <w:style w:type="character" w:styleId="809">
    <w:name w:val="Header Char"/>
    <w:basedOn w:val="958"/>
    <w:link w:val="976"/>
    <w:uiPriority w:val="99"/>
  </w:style>
  <w:style w:type="character" w:styleId="810">
    <w:name w:val="Footer Char"/>
    <w:basedOn w:val="958"/>
    <w:link w:val="978"/>
    <w:uiPriority w:val="99"/>
  </w:style>
  <w:style w:type="paragraph" w:styleId="811">
    <w:name w:val="Caption"/>
    <w:basedOn w:val="948"/>
    <w:next w:val="948"/>
    <w:link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2">
    <w:name w:val="Caption Char"/>
    <w:basedOn w:val="811"/>
    <w:link w:val="978"/>
    <w:uiPriority w:val="99"/>
  </w:style>
  <w:style w:type="table" w:styleId="813">
    <w:name w:val="Table Grid Light"/>
    <w:basedOn w:val="9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4">
    <w:name w:val="Plain Table 1"/>
    <w:basedOn w:val="9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5">
    <w:name w:val="Plain Table 2"/>
    <w:basedOn w:val="9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7">
    <w:name w:val="Plain Table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Plain Table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9">
    <w:name w:val="Grid Table 1 Light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4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1">
    <w:name w:val="Grid Table 4 - Accent 1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2">
    <w:name w:val="Grid Table 4 - Accent 2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Grid Table 4 - Accent 3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4">
    <w:name w:val="Grid Table 4 - Accent 4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Grid Table 4 - Accent 5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6">
    <w:name w:val="Grid Table 4 - Accent 6"/>
    <w:basedOn w:val="9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7">
    <w:name w:val="Grid Table 5 Dark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854">
    <w:name w:val="Grid Table 6 Colorful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5">
    <w:name w:val="Grid Table 6 Colorful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6">
    <w:name w:val="Grid Table 6 Colorful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7">
    <w:name w:val="Grid Table 6 Colorful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8">
    <w:name w:val="Grid Table 6 Colorful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9">
    <w:name w:val="Grid Table 6 Colorful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0">
    <w:name w:val="Grid Table 6 Colorful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61">
    <w:name w:val="Grid Table 7 Colorful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6">
    <w:name w:val="List Table 2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7">
    <w:name w:val="List Table 2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8">
    <w:name w:val="List Table 2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9">
    <w:name w:val="List Table 2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0">
    <w:name w:val="List Table 2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1">
    <w:name w:val="List Table 2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2">
    <w:name w:val="List Table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5 Dark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5 Dark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2">
    <w:name w:val="List Table 5 Dark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3">
    <w:name w:val="List Table 6 Colorful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4">
    <w:name w:val="List Table 6 Colorful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5">
    <w:name w:val="List Table 6 Colorful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List Table 6 Colorful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7">
    <w:name w:val="List Table 6 Colorful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List Table 6 Colorful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9">
    <w:name w:val="List Table 6 Colorful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0">
    <w:name w:val="List Table 7 Colorful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11">
    <w:name w:val="List Table 7 Colorful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2">
    <w:name w:val="List Table 7 Colorful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3">
    <w:name w:val="List Table 7 Colorful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4">
    <w:name w:val="List Table 7 Colorful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5">
    <w:name w:val="List Table 7 Colorful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6">
    <w:name w:val="List Table 7 Colorful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7">
    <w:name w:val="Lined - Accent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18">
    <w:name w:val="Lined - Accent 1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19">
    <w:name w:val="Lined - Accent 2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0">
    <w:name w:val="Lined - Accent 3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1">
    <w:name w:val="Lined - Accent 4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2">
    <w:name w:val="Lined - Accent 5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3">
    <w:name w:val="Lined - Accent 6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4">
    <w:name w:val="Bordered &amp; Lined - Accent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5">
    <w:name w:val="Bordered &amp; Lined - Accent 1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6">
    <w:name w:val="Bordered &amp; Lined - Accent 2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7">
    <w:name w:val="Bordered &amp; Lined - Accent 3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8">
    <w:name w:val="Bordered &amp; Lined - Accent 4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29">
    <w:name w:val="Bordered &amp; Lined - Accent 5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30">
    <w:name w:val="Bordered &amp; Lined - Accent 6"/>
    <w:basedOn w:val="9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31">
    <w:name w:val="Bordered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2">
    <w:name w:val="Bordered - Accent 1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3">
    <w:name w:val="Bordered - Accent 2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4">
    <w:name w:val="Bordered - Accent 3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5">
    <w:name w:val="Bordered - Accent 4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6">
    <w:name w:val="Bordered - Accent 5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7">
    <w:name w:val="Bordered - Accent 6"/>
    <w:basedOn w:val="9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8">
    <w:name w:val="Footnote Text Char"/>
    <w:link w:val="998"/>
    <w:uiPriority w:val="99"/>
    <w:rPr>
      <w:sz w:val="18"/>
    </w:rPr>
  </w:style>
  <w:style w:type="paragraph" w:styleId="939">
    <w:name w:val="endnote text"/>
    <w:basedOn w:val="948"/>
    <w:link w:val="940"/>
    <w:uiPriority w:val="99"/>
    <w:semiHidden/>
    <w:unhideWhenUsed/>
    <w:pPr>
      <w:spacing w:after="0" w:line="240" w:lineRule="auto"/>
    </w:pPr>
    <w:rPr>
      <w:sz w:val="20"/>
    </w:rPr>
  </w:style>
  <w:style w:type="character" w:styleId="940">
    <w:name w:val="Endnote Text Char"/>
    <w:link w:val="939"/>
    <w:uiPriority w:val="99"/>
    <w:rPr>
      <w:sz w:val="20"/>
    </w:rPr>
  </w:style>
  <w:style w:type="character" w:styleId="941">
    <w:name w:val="endnote reference"/>
    <w:basedOn w:val="958"/>
    <w:uiPriority w:val="99"/>
    <w:semiHidden/>
    <w:unhideWhenUsed/>
    <w:rPr>
      <w:vertAlign w:val="superscript"/>
    </w:rPr>
  </w:style>
  <w:style w:type="paragraph" w:styleId="942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3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4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5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6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7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9">
    <w:name w:val="Heading 1"/>
    <w:basedOn w:val="948"/>
    <w:next w:val="948"/>
    <w:link w:val="961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950">
    <w:name w:val="Heading 2"/>
    <w:basedOn w:val="948"/>
    <w:next w:val="948"/>
    <w:link w:val="962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951">
    <w:name w:val="Heading 3"/>
    <w:basedOn w:val="948"/>
    <w:next w:val="948"/>
    <w:link w:val="963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952">
    <w:name w:val="Heading 4"/>
    <w:basedOn w:val="948"/>
    <w:next w:val="948"/>
    <w:link w:val="964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953">
    <w:name w:val="Heading 5"/>
    <w:basedOn w:val="948"/>
    <w:next w:val="948"/>
    <w:link w:val="965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954">
    <w:name w:val="Heading 6"/>
    <w:basedOn w:val="948"/>
    <w:next w:val="948"/>
    <w:link w:val="966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955">
    <w:name w:val="Heading 7"/>
    <w:basedOn w:val="948"/>
    <w:next w:val="948"/>
    <w:link w:val="967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956">
    <w:name w:val="Heading 8"/>
    <w:basedOn w:val="948"/>
    <w:next w:val="948"/>
    <w:link w:val="968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57">
    <w:name w:val="Heading 9"/>
    <w:basedOn w:val="948"/>
    <w:next w:val="948"/>
    <w:link w:val="969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958" w:default="1">
    <w:name w:val="Default Paragraph Font"/>
    <w:uiPriority w:val="1"/>
    <w:semiHidden/>
    <w:unhideWhenUsed/>
  </w:style>
  <w:style w:type="table" w:styleId="9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0" w:default="1">
    <w:name w:val="No List"/>
    <w:uiPriority w:val="99"/>
    <w:semiHidden/>
    <w:unhideWhenUsed/>
  </w:style>
  <w:style w:type="character" w:styleId="961" w:customStyle="1">
    <w:name w:val="Заголовок 1 Знак"/>
    <w:basedOn w:val="958"/>
    <w:link w:val="94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62" w:customStyle="1">
    <w:name w:val="Заголовок 2 Знак"/>
    <w:basedOn w:val="958"/>
    <w:link w:val="950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963" w:customStyle="1">
    <w:name w:val="Заголовок 3 Знак"/>
    <w:basedOn w:val="958"/>
    <w:link w:val="951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964" w:customStyle="1">
    <w:name w:val="Заголовок 4 Знак"/>
    <w:basedOn w:val="958"/>
    <w:link w:val="952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965" w:customStyle="1">
    <w:name w:val="Заголовок 5 Знак"/>
    <w:basedOn w:val="958"/>
    <w:link w:val="953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966" w:customStyle="1">
    <w:name w:val="Заголовок 6 Знак"/>
    <w:basedOn w:val="958"/>
    <w:link w:val="954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967" w:customStyle="1">
    <w:name w:val="Заголовок 7 Знак"/>
    <w:basedOn w:val="958"/>
    <w:link w:val="95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8" w:customStyle="1">
    <w:name w:val="Заголовок 8 Знак"/>
    <w:basedOn w:val="958"/>
    <w:link w:val="956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969" w:customStyle="1">
    <w:name w:val="Заголовок 9 Знак"/>
    <w:basedOn w:val="958"/>
    <w:link w:val="957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970" w:customStyle="1">
    <w:name w:val="заголовок 11"/>
    <w:basedOn w:val="948"/>
    <w:next w:val="948"/>
    <w:pPr>
      <w:jc w:val="center"/>
      <w:keepNext/>
    </w:pPr>
    <w:rPr>
      <w:sz w:val="20"/>
      <w:szCs w:val="20"/>
    </w:rPr>
  </w:style>
  <w:style w:type="paragraph" w:styleId="971" w:customStyle="1">
    <w:name w:val="rvps1"/>
    <w:basedOn w:val="948"/>
    <w:pPr>
      <w:jc w:val="center"/>
    </w:pPr>
  </w:style>
  <w:style w:type="character" w:styleId="972">
    <w:name w:val="Hyperlink"/>
    <w:uiPriority w:val="99"/>
    <w:unhideWhenUsed/>
    <w:rPr>
      <w:color w:val="0000ff"/>
      <w:u w:val="single"/>
    </w:rPr>
  </w:style>
  <w:style w:type="paragraph" w:styleId="973">
    <w:name w:val="List Paragraph"/>
    <w:basedOn w:val="948"/>
    <w:uiPriority w:val="34"/>
    <w:qFormat/>
    <w:pPr>
      <w:contextualSpacing/>
      <w:ind w:left="720"/>
    </w:pPr>
  </w:style>
  <w:style w:type="paragraph" w:styleId="974">
    <w:name w:val="toc 1"/>
    <w:basedOn w:val="948"/>
    <w:next w:val="948"/>
    <w:uiPriority w:val="39"/>
    <w:qFormat/>
    <w:pPr>
      <w:ind w:left="34" w:firstLine="1"/>
      <w:jc w:val="both"/>
    </w:pPr>
  </w:style>
  <w:style w:type="paragraph" w:styleId="975">
    <w:name w:val="toc 2"/>
    <w:basedOn w:val="948"/>
    <w:next w:val="948"/>
    <w:uiPriority w:val="39"/>
    <w:qFormat/>
    <w:pPr>
      <w:numPr>
        <w:ilvl w:val="0"/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976">
    <w:name w:val="Header"/>
    <w:basedOn w:val="948"/>
    <w:link w:val="977"/>
    <w:unhideWhenUsed/>
    <w:pPr>
      <w:tabs>
        <w:tab w:val="center" w:pos="4677" w:leader="none"/>
        <w:tab w:val="right" w:pos="9355" w:leader="none"/>
      </w:tabs>
    </w:pPr>
  </w:style>
  <w:style w:type="character" w:styleId="977" w:customStyle="1">
    <w:name w:val="Верхний колонтитул Знак"/>
    <w:basedOn w:val="958"/>
    <w:link w:val="97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8">
    <w:name w:val="Footer"/>
    <w:basedOn w:val="948"/>
    <w:link w:val="9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79" w:customStyle="1">
    <w:name w:val="Нижний колонтитул Знак"/>
    <w:basedOn w:val="958"/>
    <w:link w:val="97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>
    <w:name w:val="Balloon Text"/>
    <w:basedOn w:val="948"/>
    <w:link w:val="981"/>
    <w:uiPriority w:val="99"/>
    <w:semiHidden/>
    <w:unhideWhenUsed/>
    <w:rPr>
      <w:rFonts w:ascii="Tahoma" w:hAnsi="Tahoma" w:cs="Tahoma"/>
      <w:sz w:val="16"/>
      <w:szCs w:val="16"/>
    </w:rPr>
  </w:style>
  <w:style w:type="character" w:styleId="981" w:customStyle="1">
    <w:name w:val="Текст выноски Знак"/>
    <w:basedOn w:val="958"/>
    <w:link w:val="98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82">
    <w:name w:val="Table Grid"/>
    <w:basedOn w:val="959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>
    <w:name w:val="Normal (Web)"/>
    <w:basedOn w:val="948"/>
    <w:link w:val="1023"/>
    <w:pPr>
      <w:spacing w:before="100" w:beforeAutospacing="1" w:after="100" w:afterAutospacing="1"/>
    </w:pPr>
  </w:style>
  <w:style w:type="paragraph" w:styleId="984" w:customStyle="1">
    <w:name w:val="Times 12"/>
    <w:basedOn w:val="948"/>
    <w:uiPriority w:val="99"/>
    <w:qFormat/>
    <w:pPr>
      <w:ind w:firstLine="567"/>
      <w:jc w:val="both"/>
    </w:pPr>
    <w:rPr>
      <w:bCs/>
      <w:sz w:val="22"/>
      <w:szCs w:val="22"/>
    </w:rPr>
  </w:style>
  <w:style w:type="paragraph" w:styleId="985" w:customStyle="1">
    <w:name w:val="rvps9"/>
    <w:basedOn w:val="948"/>
    <w:pPr>
      <w:jc w:val="both"/>
    </w:pPr>
  </w:style>
  <w:style w:type="paragraph" w:styleId="986" w:customStyle="1">
    <w:name w:val="Стиль3"/>
    <w:basedOn w:val="987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 w:val="20"/>
      <w:szCs w:val="20"/>
    </w:rPr>
  </w:style>
  <w:style w:type="paragraph" w:styleId="987">
    <w:name w:val="Body Text Indent 2"/>
    <w:basedOn w:val="948"/>
    <w:link w:val="988"/>
    <w:uiPriority w:val="99"/>
    <w:semiHidden/>
    <w:unhideWhenUsed/>
    <w:pPr>
      <w:ind w:left="283"/>
      <w:spacing w:after="120" w:line="480" w:lineRule="auto"/>
    </w:pPr>
  </w:style>
  <w:style w:type="character" w:styleId="988" w:customStyle="1">
    <w:name w:val="Основной текст с отступом 2 Знак"/>
    <w:basedOn w:val="958"/>
    <w:link w:val="98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9">
    <w:name w:val="Plain Text"/>
    <w:basedOn w:val="948"/>
    <w:link w:val="990"/>
    <w:rPr>
      <w:rFonts w:ascii="Courier New" w:hAnsi="Courier New"/>
      <w:sz w:val="20"/>
      <w:szCs w:val="20"/>
    </w:rPr>
  </w:style>
  <w:style w:type="character" w:styleId="990" w:customStyle="1">
    <w:name w:val="Текст Знак"/>
    <w:basedOn w:val="958"/>
    <w:link w:val="98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991" w:customStyle="1">
    <w:name w:val="Таблица шапка"/>
    <w:basedOn w:val="948"/>
    <w:pPr>
      <w:ind w:left="57" w:right="57"/>
      <w:keepNext/>
      <w:spacing w:before="40" w:after="40"/>
    </w:pPr>
    <w:rPr>
      <w:sz w:val="22"/>
      <w:szCs w:val="20"/>
    </w:rPr>
  </w:style>
  <w:style w:type="paragraph" w:styleId="992" w:customStyle="1">
    <w:name w:val="Таблица текст"/>
    <w:basedOn w:val="948"/>
    <w:pPr>
      <w:ind w:left="57" w:right="57"/>
      <w:spacing w:before="40" w:after="40"/>
    </w:pPr>
    <w:rPr>
      <w:sz w:val="20"/>
      <w:szCs w:val="20"/>
    </w:rPr>
  </w:style>
  <w:style w:type="character" w:styleId="993" w:customStyle="1">
    <w:name w:val="Ариал Знак1"/>
    <w:link w:val="994"/>
    <w:rPr>
      <w:rFonts w:ascii="Arial" w:hAnsi="Arial" w:cs="Arial"/>
    </w:rPr>
  </w:style>
  <w:style w:type="paragraph" w:styleId="994" w:customStyle="1">
    <w:name w:val="Ариал"/>
    <w:basedOn w:val="948"/>
    <w:link w:val="993"/>
    <w:pPr>
      <w:ind w:firstLine="851"/>
      <w:jc w:val="both"/>
      <w:spacing w:before="120" w:after="120" w:line="360" w:lineRule="auto"/>
    </w:pPr>
    <w:rPr>
      <w:rFonts w:ascii="Arial" w:hAnsi="Arial" w:eastAsia="Calibri" w:cs="Arial"/>
      <w:sz w:val="22"/>
      <w:szCs w:val="22"/>
      <w:lang w:eastAsia="en-US"/>
    </w:rPr>
  </w:style>
  <w:style w:type="paragraph" w:styleId="995" w:customStyle="1">
    <w:name w:val="Пункт б/н"/>
    <w:basedOn w:val="94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996" w:customStyle="1">
    <w:name w:val="Ариал Таблица Знак"/>
    <w:link w:val="997"/>
    <w:rPr>
      <w:rFonts w:ascii="Arial" w:hAnsi="Arial" w:cs="Arial"/>
    </w:rPr>
  </w:style>
  <w:style w:type="paragraph" w:styleId="997" w:customStyle="1">
    <w:name w:val="Ариал Таблица"/>
    <w:basedOn w:val="994"/>
    <w:link w:val="996"/>
    <w:pPr>
      <w:ind w:firstLine="0"/>
      <w:spacing w:before="0" w:after="0" w:line="240" w:lineRule="auto"/>
      <w:widowControl w:val="off"/>
    </w:pPr>
  </w:style>
  <w:style w:type="paragraph" w:styleId="998">
    <w:name w:val="footnote text"/>
    <w:basedOn w:val="948"/>
    <w:link w:val="999"/>
    <w:unhideWhenUsed/>
    <w:rPr>
      <w:sz w:val="20"/>
      <w:szCs w:val="20"/>
    </w:rPr>
  </w:style>
  <w:style w:type="character" w:styleId="999" w:customStyle="1">
    <w:name w:val="Текст сноски Знак"/>
    <w:basedOn w:val="958"/>
    <w:link w:val="99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0">
    <w:name w:val="footnote reference"/>
    <w:unhideWhenUsed/>
    <w:rPr>
      <w:vertAlign w:val="superscript"/>
    </w:rPr>
  </w:style>
  <w:style w:type="paragraph" w:styleId="1001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002">
    <w:name w:val="page number"/>
    <w:basedOn w:val="958"/>
  </w:style>
  <w:style w:type="paragraph" w:styleId="1003" w:customStyle="1">
    <w:name w:val="rvps46"/>
    <w:basedOn w:val="948"/>
    <w:pPr>
      <w:spacing w:before="120" w:after="120"/>
    </w:pPr>
  </w:style>
  <w:style w:type="character" w:styleId="1004">
    <w:name w:val="annotation reference"/>
    <w:uiPriority w:val="99"/>
    <w:unhideWhenUsed/>
    <w:rPr>
      <w:sz w:val="16"/>
      <w:szCs w:val="16"/>
    </w:rPr>
  </w:style>
  <w:style w:type="paragraph" w:styleId="1005">
    <w:name w:val="annotation text"/>
    <w:basedOn w:val="948"/>
    <w:link w:val="1006"/>
    <w:uiPriority w:val="99"/>
    <w:unhideWhenUsed/>
    <w:rPr>
      <w:sz w:val="20"/>
      <w:szCs w:val="20"/>
    </w:rPr>
  </w:style>
  <w:style w:type="character" w:styleId="1006" w:customStyle="1">
    <w:name w:val="Текст примечания Знак"/>
    <w:basedOn w:val="958"/>
    <w:link w:val="100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7">
    <w:name w:val="annotation subject"/>
    <w:basedOn w:val="1005"/>
    <w:next w:val="1005"/>
    <w:link w:val="1008"/>
    <w:uiPriority w:val="99"/>
    <w:semiHidden/>
    <w:unhideWhenUsed/>
    <w:rPr>
      <w:b/>
      <w:bCs/>
    </w:rPr>
  </w:style>
  <w:style w:type="character" w:styleId="1008" w:customStyle="1">
    <w:name w:val="Тема примечания Знак"/>
    <w:basedOn w:val="1006"/>
    <w:link w:val="100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09">
    <w:name w:val="Body Text Indent"/>
    <w:basedOn w:val="948"/>
    <w:link w:val="1010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1010" w:customStyle="1">
    <w:name w:val="Основной текст с отступом Знак"/>
    <w:basedOn w:val="958"/>
    <w:link w:val="1009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1011">
    <w:name w:val="Body Text"/>
    <w:basedOn w:val="948"/>
    <w:link w:val="1012"/>
    <w:uiPriority w:val="99"/>
    <w:unhideWhenUsed/>
    <w:rPr>
      <w:i/>
      <w:sz w:val="26"/>
      <w:szCs w:val="26"/>
    </w:rPr>
  </w:style>
  <w:style w:type="character" w:styleId="1012" w:customStyle="1">
    <w:name w:val="Основной текст Знак"/>
    <w:basedOn w:val="958"/>
    <w:link w:val="1011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1013">
    <w:name w:val="Body Text 2"/>
    <w:basedOn w:val="948"/>
    <w:link w:val="1014"/>
    <w:uiPriority w:val="99"/>
    <w:unhideWhenUsed/>
    <w:rPr>
      <w:i/>
      <w:color w:val="ff0000"/>
      <w:sz w:val="26"/>
      <w:szCs w:val="26"/>
    </w:rPr>
  </w:style>
  <w:style w:type="character" w:styleId="1014" w:customStyle="1">
    <w:name w:val="Основной текст 2 Знак"/>
    <w:basedOn w:val="958"/>
    <w:link w:val="1013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1015" w:customStyle="1">
    <w:name w:val="Пункт"/>
    <w:basedOn w:val="948"/>
    <w:pPr>
      <w:ind w:left="1404" w:hanging="504"/>
      <w:jc w:val="both"/>
      <w:tabs>
        <w:tab w:val="num" w:pos="1980" w:leader="none"/>
      </w:tabs>
    </w:pPr>
    <w:rPr>
      <w:sz w:val="28"/>
      <w:szCs w:val="28"/>
    </w:rPr>
  </w:style>
  <w:style w:type="paragraph" w:styleId="101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7">
    <w:name w:val="TOC Heading"/>
    <w:basedOn w:val="949"/>
    <w:next w:val="948"/>
    <w:uiPriority w:val="39"/>
    <w:qFormat/>
    <w:pPr>
      <w:spacing w:line="276" w:lineRule="auto"/>
      <w:outlineLvl w:val="9"/>
    </w:pPr>
  </w:style>
  <w:style w:type="paragraph" w:styleId="1018">
    <w:name w:val="toc 3"/>
    <w:basedOn w:val="948"/>
    <w:next w:val="948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1019">
    <w:name w:val="Body Text 3"/>
    <w:basedOn w:val="948"/>
    <w:link w:val="1020"/>
    <w:uiPriority w:val="99"/>
    <w:unhideWhenUsed/>
    <w:rPr>
      <w:sz w:val="26"/>
      <w:szCs w:val="26"/>
    </w:rPr>
  </w:style>
  <w:style w:type="character" w:styleId="1020" w:customStyle="1">
    <w:name w:val="Основной текст 3 Знак"/>
    <w:basedOn w:val="958"/>
    <w:link w:val="1019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021">
    <w:name w:val="Body Text Indent 3"/>
    <w:basedOn w:val="948"/>
    <w:link w:val="1022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1022" w:customStyle="1">
    <w:name w:val="Основной текст с отступом 3 Знак"/>
    <w:basedOn w:val="958"/>
    <w:link w:val="1021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1023" w:customStyle="1">
    <w:name w:val="Обычный (Интернет) Знак"/>
    <w:link w:val="98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4">
    <w:name w:val="Block Text"/>
    <w:basedOn w:val="948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1025" w:customStyle="1">
    <w:name w:val="çàãîëîâîê 2"/>
    <w:basedOn w:val="948"/>
    <w:next w:val="948"/>
    <w:pPr>
      <w:jc w:val="both"/>
      <w:keepNext/>
    </w:pPr>
    <w:rPr>
      <w:sz w:val="20"/>
      <w:szCs w:val="20"/>
      <w:lang w:val="en-GB"/>
    </w:rPr>
  </w:style>
  <w:style w:type="paragraph" w:styleId="1026" w:customStyle="1">
    <w:name w:val="Абзац списка1"/>
    <w:basedOn w:val="94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27" w:customStyle="1">
    <w:name w:val="Текст документа"/>
    <w:basedOn w:val="948"/>
    <w:link w:val="1028"/>
    <w:uiPriority w:val="99"/>
    <w:pPr>
      <w:ind w:firstLine="720"/>
      <w:jc w:val="both"/>
      <w:spacing w:line="360" w:lineRule="auto"/>
    </w:pPr>
  </w:style>
  <w:style w:type="character" w:styleId="1028" w:customStyle="1">
    <w:name w:val="Текст документа Знак"/>
    <w:link w:val="10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9">
    <w:name w:val="FollowedHyperlink"/>
    <w:uiPriority w:val="99"/>
    <w:semiHidden/>
    <w:unhideWhenUsed/>
    <w:rPr>
      <w:color w:val="800080"/>
      <w:u w:val="single"/>
    </w:rPr>
  </w:style>
  <w:style w:type="paragraph" w:styleId="1030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1031" w:customStyle="1">
    <w:name w:val="Стиль4"/>
    <w:pPr>
      <w:numPr>
        <w:ilvl w:val="0"/>
        <w:numId w:val="2"/>
      </w:numPr>
    </w:pPr>
  </w:style>
  <w:style w:type="paragraph" w:styleId="1032" w:customStyle="1">
    <w:name w:val="Char Char4 Знак Знак Char Char Знак Знак Char Char Знак Char Char"/>
    <w:basedOn w:val="948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103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4" w:customStyle="1">
    <w:name w:val="NVG Bullet"/>
    <w:basedOn w:val="948"/>
    <w:pPr>
      <w:numPr>
        <w:ilvl w:val="0"/>
        <w:numId w:val="3"/>
      </w:numPr>
      <w:spacing w:before="120"/>
    </w:pPr>
    <w:rPr>
      <w:rFonts w:ascii="Arial" w:hAnsi="Arial"/>
      <w:lang w:val="en-US" w:eastAsia="ar-SA"/>
    </w:rPr>
  </w:style>
  <w:style w:type="paragraph" w:styleId="1035" w:customStyle="1">
    <w:name w:val="Текст_бюл"/>
    <w:basedOn w:val="989"/>
    <w:link w:val="1036"/>
    <w:pPr>
      <w:numPr>
        <w:ilvl w:val="0"/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1036" w:customStyle="1">
    <w:name w:val="Текст_бюл Знак"/>
    <w:link w:val="1035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1037" w:customStyle="1">
    <w:name w:val="Font Style29"/>
    <w:basedOn w:val="958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1038" w:customStyle="1">
    <w:name w:val="Style14"/>
    <w:basedOn w:val="948"/>
    <w:uiPriority w:val="99"/>
    <w:pPr>
      <w:ind w:firstLine="581"/>
      <w:jc w:val="both"/>
      <w:spacing w:line="344" w:lineRule="exact"/>
      <w:widowControl w:val="off"/>
    </w:pPr>
    <w:rPr>
      <w:rFonts w:eastAsia="Calibri"/>
    </w:rPr>
  </w:style>
  <w:style w:type="paragraph" w:styleId="1039" w:customStyle="1">
    <w:name w:val="Термин"/>
    <w:basedOn w:val="989"/>
    <w:pPr>
      <w:ind w:left="567"/>
      <w:jc w:val="both"/>
    </w:pPr>
    <w:rPr>
      <w:rFonts w:ascii="Times New Roman" w:hAnsi="Times New Roman" w:cs="Courier New"/>
      <w:sz w:val="26"/>
    </w:rPr>
  </w:style>
  <w:style w:type="paragraph" w:styleId="1040">
    <w:name w:val="List Bullet 3"/>
    <w:basedOn w:val="948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  <w:style w:type="character" w:styleId="1041">
    <w:name w:val="Unresolved Mention"/>
    <w:basedOn w:val="958"/>
    <w:uiPriority w:val="99"/>
    <w:semiHidden/>
    <w:unhideWhenUsed/>
    <w:rPr>
      <w:color w:val="605e5c"/>
      <w:shd w:val="clear" w:color="e1dfdd" w:fill="e1dfdd"/>
    </w:rPr>
  </w:style>
  <w:style w:type="paragraph" w:styleId="1042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u w:val="none"/>
      <w:vertAlign w:val="baseline"/>
      <w:rtl w:val="0"/>
      <w:cs w:val="0"/>
      <w:lang w:val="ru-RU" w:eastAsia="ru-RU" w:bidi="ar-SA"/>
    </w:rPr>
  </w:style>
  <w:style w:type="paragraph" w:styleId="1043">
    <w:name w:val="Основной текст 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rtl w:val="0"/>
      <w:cs w:val="0"/>
      <w:lang w:val="ru-RU" w:eastAsia="ru-RU" w:bidi="ar-SA"/>
    </w:rPr>
  </w:style>
  <w:style w:type="paragraph" w:styleId="1044" w:customStyle="1">
    <w:name w:val="Основной текст2"/>
    <w:basedOn w:val="937"/>
    <w:link w:val="942"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0" w:lineRule="atLeast"/>
      <w:shd w:val="clear" w:color="ffffff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3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</w:rPr>
  </w:style>
  <w:style w:type="paragraph" w:styleId="1045" w:customStyle="1">
    <w:name w:val="Основной текст (2)"/>
    <w:basedOn w:val="937"/>
    <w:link w:val="944"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0" w:lineRule="atLeast"/>
      <w:shd w:val="clear" w:color="ffffff" w:fill="ffffff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5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://www.rts-tender.ru" TargetMode="External"/><Relationship Id="rId12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3" Type="http://schemas.openxmlformats.org/officeDocument/2006/relationships/hyperlink" Target="http://www.rts-tender.ru" TargetMode="External"/><Relationship Id="rId14" Type="http://schemas.openxmlformats.org/officeDocument/2006/relationships/hyperlink" Target="consultantplus://offline/ref=C40AFE508C514D370134858A427D488572E28F346EB751B3176E2E17DCF8B6FF67495B5Eo2J" TargetMode="External"/><Relationship Id="rId15" Type="http://schemas.openxmlformats.org/officeDocument/2006/relationships/hyperlink" Target="mailto:dizo@adm4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bushmanovan</cp:lastModifiedBy>
  <cp:revision>102</cp:revision>
  <dcterms:created xsi:type="dcterms:W3CDTF">2020-09-23T12:31:00Z</dcterms:created>
  <dcterms:modified xsi:type="dcterms:W3CDTF">2025-12-22T07:33:06Z</dcterms:modified>
</cp:coreProperties>
</file>